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C9A24B"/>
          <w:spacing w:val="24"/>
          <w:sz w:val="18"/>
          <w:szCs w:val="18"/>
        </w:rPr>
        <w:t xml:space="preserve">RESEARCH PLAN TEMPLATE</w:t>
      </w:r>
    </w:p>
    <w:p>
      <w:pPr>
        <w:spacing w:after="80"/>
      </w:pPr>
      <w:r>
        <w:rPr>
          <w:rFonts w:ascii="Georgia" w:cs="Georgia" w:eastAsia="Georgia" w:hAnsi="Georgia"/>
          <w:b/>
          <w:bCs/>
          <w:color w:val="16302A"/>
          <w:sz w:val="44"/>
          <w:szCs w:val="44"/>
        </w:rPr>
        <w:t xml:space="preserve">Research Plan</w:t>
      </w:r>
    </w:p>
    <w:p>
      <w:pPr>
        <w:pBdr>
          <w:bottom w:val="single" w:color="C9A24B" w:sz="10" w:space="6"/>
        </w:pBdr>
        <w:spacing w:after="300"/>
      </w:pPr>
      <w:r>
        <w:rPr>
          <w:i/>
          <w:iCs/>
          <w:color w:val="5E7A6C"/>
          <w:sz w:val="20"/>
          <w:szCs w:val="20"/>
        </w:rPr>
        <w:t xml:space="preserve">Fill in each section before you start recruiting or picking a method. If a section feels hard to fill in, that's worth noticing — it usually means the plan isn't ready yet.</w:t>
      </w:r>
    </w:p>
    <w:p>
      <w:pPr>
        <w:pBdr>
          <w:bottom w:val="single" w:color="16302A" w:sz="6" w:space="4"/>
        </w:pBdr>
        <w:spacing w:after="120" w:before="320"/>
      </w:pPr>
      <w:r>
        <w:rPr>
          <w:rFonts w:ascii="Georgia" w:cs="Georgia" w:eastAsia="Georgia" w:hAnsi="Georgia"/>
          <w:b/>
          <w:bCs/>
          <w:color w:val="16302A"/>
          <w:sz w:val="24"/>
          <w:szCs w:val="24"/>
        </w:rPr>
        <w:t xml:space="preserve">Project Basics</w:t>
      </w:r>
    </w:p>
    <w:p>
      <w:pPr>
        <w:spacing w:after="120"/>
      </w:pPr>
      <w:r>
        <w:rPr>
          <w:i/>
          <w:iCs/>
          <w:color w:val="5E7A6C"/>
          <w:sz w:val="19"/>
          <w:szCs w:val="19"/>
        </w:rPr>
        <w:t xml:space="preserve">Project name</w:t>
      </w:r>
    </w:p>
    <w:p>
      <w:pPr>
        <w:pBdr>
          <w:bottom w:val="single" w:color="DED6C4" w:sz="4" w:space="2"/>
        </w:pBdr>
        <w:spacing w:after="200"/>
      </w:pPr>
      <w:r>
        <w:rPr>
          <w:i/>
          <w:iCs/>
          <w:color w:val="999999"/>
          <w:sz w:val="21"/>
          <w:szCs w:val="21"/>
        </w:rPr>
        <w:t xml:space="preserve">e.g. Checkout flow research — Q3 2026</w:t>
      </w:r>
    </w:p>
    <w:p>
      <w:pPr>
        <w:spacing w:after="120"/>
      </w:pPr>
      <w:r>
        <w:rPr>
          <w:i/>
          <w:iCs/>
          <w:color w:val="5E7A6C"/>
          <w:sz w:val="19"/>
          <w:szCs w:val="19"/>
        </w:rPr>
        <w:t xml:space="preserve">Who's asking for this, and why now?</w:t>
      </w:r>
    </w:p>
    <w:p>
      <w:pPr>
        <w:pBdr>
          <w:bottom w:val="single" w:color="DED6C4" w:sz="4" w:space="2"/>
        </w:pBdr>
        <w:spacing w:after="200"/>
      </w:pPr>
      <w:r>
        <w:rPr>
          <w:i/>
          <w:iCs/>
          <w:color w:val="999999"/>
          <w:sz w:val="21"/>
          <w:szCs w:val="21"/>
        </w:rPr>
        <w:t xml:space="preserve">e.g. Product lead — checkout drop-off increased after the redesign</w:t>
      </w:r>
    </w:p>
    <w:p>
      <w:pPr>
        <w:pBdr>
          <w:bottom w:val="single" w:color="16302A" w:sz="6" w:space="4"/>
        </w:pBdr>
        <w:spacing w:after="120" w:before="320"/>
      </w:pPr>
      <w:r>
        <w:rPr>
          <w:rFonts w:ascii="Georgia" w:cs="Georgia" w:eastAsia="Georgia" w:hAnsi="Georgia"/>
          <w:b/>
          <w:bCs/>
          <w:color w:val="16302A"/>
          <w:sz w:val="24"/>
          <w:szCs w:val="24"/>
        </w:rPr>
        <w:t xml:space="preserve">Research Objective</w:t>
      </w:r>
    </w:p>
    <w:p>
      <w:pPr>
        <w:spacing w:after="120"/>
      </w:pPr>
      <w:r>
        <w:rPr>
          <w:i/>
          <w:iCs/>
          <w:color w:val="5E7A6C"/>
          <w:sz w:val="19"/>
          <w:szCs w:val="19"/>
        </w:rPr>
        <w:t xml:space="preserve">One sentence. What decision will this research inform?</w:t>
      </w:r>
    </w:p>
    <w:p>
      <w:pPr>
        <w:pBdr>
          <w:bottom w:val="single" w:color="DED6C4" w:sz="4" w:space="2"/>
        </w:pBdr>
        <w:spacing w:after="160"/>
      </w:pPr>
      <w:r>
        <w:rPr>
          <w:i/>
          <w:iCs/>
          <w:color w:val="999999"/>
          <w:sz w:val="21"/>
          <w:szCs w:val="21"/>
        </w:rPr>
        <w:t xml:space="preserve">e.g. Understand why users abandon checkout after adding a payment method</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Research Questions</w:t>
      </w:r>
    </w:p>
    <w:p>
      <w:pPr>
        <w:spacing w:after="120"/>
      </w:pPr>
      <w:r>
        <w:rPr>
          <w:i/>
          <w:iCs/>
          <w:color w:val="5E7A6C"/>
          <w:sz w:val="19"/>
          <w:szCs w:val="19"/>
        </w:rPr>
        <w:t xml:space="preserve">3–5 specific questions this research needs to answer. Avoid questions that are really opinions in disguise (see the usage guide for what that means).</w:t>
      </w:r>
    </w:p>
    <w:p>
      <w:pPr>
        <w:pStyle w:val="ListParagraph"/>
        <w:numPr>
          <w:ilvl w:val="0"/>
          <w:numId w:val="2"/>
        </w:numPr>
        <w:pBdr>
          <w:bottom w:val="single" w:color="DED6C4" w:sz="4" w:space="2"/>
        </w:pBdr>
        <w:spacing w:after="140"/>
      </w:pPr>
      <w:r>
        <w:rPr>
          <w:sz w:val="21"/>
          <w:szCs w:val="21"/>
        </w:rPr>
        <w:t xml:space="preserve"/>
      </w:r>
    </w:p>
    <w:p>
      <w:pPr>
        <w:pStyle w:val="ListParagraph"/>
        <w:numPr>
          <w:ilvl w:val="0"/>
          <w:numId w:val="2"/>
        </w:numPr>
        <w:pBdr>
          <w:bottom w:val="single" w:color="DED6C4" w:sz="4" w:space="2"/>
        </w:pBdr>
        <w:spacing w:after="140"/>
      </w:pPr>
      <w:r>
        <w:rPr>
          <w:sz w:val="21"/>
          <w:szCs w:val="21"/>
        </w:rPr>
        <w:t xml:space="preserve"/>
      </w:r>
    </w:p>
    <w:p>
      <w:pPr>
        <w:pStyle w:val="ListParagraph"/>
        <w:numPr>
          <w:ilvl w:val="0"/>
          <w:numId w:val="2"/>
        </w:numPr>
        <w:pBdr>
          <w:bottom w:val="single" w:color="DED6C4" w:sz="4" w:space="2"/>
        </w:pBdr>
        <w:spacing w:after="140"/>
      </w:pPr>
      <w:r>
        <w:rPr>
          <w:sz w:val="21"/>
          <w:szCs w:val="21"/>
        </w:rPr>
        <w:t xml:space="preserve"/>
      </w:r>
    </w:p>
    <w:p>
      <w:pPr>
        <w:pStyle w:val="ListParagraph"/>
        <w:numPr>
          <w:ilvl w:val="0"/>
          <w:numId w:val="2"/>
        </w:numPr>
        <w:pBdr>
          <w:bottom w:val="single" w:color="DED6C4" w:sz="4" w:space="2"/>
        </w:pBdr>
        <w:spacing w:after="140"/>
      </w:pPr>
      <w:r>
        <w:rPr>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Method</w:t>
      </w:r>
    </w:p>
    <w:p>
      <w:pPr>
        <w:spacing w:after="120"/>
      </w:pPr>
      <w:r>
        <w:rPr>
          <w:i/>
          <w:iCs/>
          <w:color w:val="5E7A6C"/>
          <w:sz w:val="19"/>
          <w:szCs w:val="19"/>
        </w:rPr>
        <w:t xml:space="preserve">Which method(s), and why this one over the alternatives?</w:t>
      </w:r>
    </w:p>
    <w:p>
      <w:pPr>
        <w:pBdr>
          <w:bottom w:val="single" w:color="DED6C4" w:sz="4" w:space="2"/>
        </w:pBdr>
        <w:spacing w:after="160"/>
      </w:pPr>
      <w:r>
        <w:rPr>
          <w:i/>
          <w:iCs/>
          <w:color w:val="999999"/>
          <w:sz w:val="21"/>
          <w:szCs w:val="21"/>
        </w:rPr>
        <w:t xml:space="preserve">e.g. Usability testing — we need to watch where people hesitate, not just hear opinions</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Participants</w:t>
      </w:r>
    </w:p>
    <w:p>
      <w:pPr>
        <w:spacing w:after="120"/>
      </w:pPr>
      <w:r>
        <w:rPr>
          <w:i/>
          <w:iCs/>
          <w:color w:val="5E7A6C"/>
          <w:sz w:val="19"/>
          <w:szCs w:val="19"/>
        </w:rPr>
        <w:t xml:space="preserve">Who, how many, and how will you find them?</w:t>
      </w:r>
    </w:p>
    <w:tbl>
      <w:tblPr>
        <w:tblW w:type="pct" w:w="100%"/>
        <w:tblBorders>
          <w:top w:val="single" w:color="DED6C4" w:sz="4"/>
          <w:left w:val="single" w:color="DED6C4" w:sz="4"/>
          <w:bottom w:val="single" w:color="DED6C4" w:sz="4"/>
          <w:right w:val="single" w:color="DED6C4" w:sz="4"/>
          <w:insideH w:val="single" w:color="DED6C4" w:sz="4"/>
          <w:insideV w:val="single" w:color="DED6C4" w:sz="4"/>
        </w:tblBorders>
      </w:tblPr>
      <w:tblGrid>
        <w:gridCol w:w="100"/>
        <w:gridCol w:w="100"/>
      </w:tblGrid>
      <w:tr>
        <w:tc>
          <w:tcPr>
            <w:tcW w:type="pct" w:w="34%"/>
            <w:shd w:fill="F6EFDE" w:val="clear"/>
            <w:tcMar>
              <w:top w:type="dxa" w:w="100"/>
              <w:left w:type="dxa" w:w="120"/>
              <w:bottom w:type="dxa" w:w="100"/>
              <w:right w:type="dxa" w:w="120"/>
            </w:tcMar>
          </w:tcPr>
          <w:p>
            <w:r>
              <w:rPr>
                <w:b/>
                <w:bCs/>
                <w:color w:val="16302A"/>
                <w:sz w:val="19"/>
                <w:szCs w:val="19"/>
              </w:rPr>
              <w:t xml:space="preserve">Screening criteria</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Number of participants</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Recruitment source</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Incentive</w:t>
            </w:r>
          </w:p>
        </w:tc>
        <w:tc>
          <w:tcPr>
            <w:tcW w:type="pct" w:w="66%"/>
            <w:tcMar>
              <w:top w:type="dxa" w:w="100"/>
              <w:left w:type="dxa" w:w="120"/>
              <w:bottom w:type="dxa" w:w="100"/>
              <w:right w:type="dxa" w:w="120"/>
            </w:tcMar>
          </w:tcPr>
          <w:p>
            <w:r>
              <w:rPr>
                <w:sz w:val="20"/>
                <w:szCs w:val="20"/>
              </w:rPr>
              <w:t xml:space="preserve"> </w:t>
            </w:r>
          </w:p>
        </w:tc>
      </w:tr>
    </w:tbl>
    <w:p>
      <w:pPr>
        <w:spacing w:after="300"/>
      </w:pPr>
    </w:p>
    <w:p>
      <w:pPr>
        <w:pBdr>
          <w:bottom w:val="single" w:color="16302A" w:sz="6" w:space="4"/>
        </w:pBdr>
        <w:spacing w:after="120" w:before="320"/>
      </w:pPr>
      <w:r>
        <w:rPr>
          <w:rFonts w:ascii="Georgia" w:cs="Georgia" w:eastAsia="Georgia" w:hAnsi="Georgia"/>
          <w:b/>
          <w:bCs/>
          <w:color w:val="16302A"/>
          <w:sz w:val="24"/>
          <w:szCs w:val="24"/>
        </w:rPr>
        <w:t xml:space="preserve">Timeline</w:t>
      </w:r>
    </w:p>
    <w:tbl>
      <w:tblPr>
        <w:tblW w:type="pct" w:w="100%"/>
        <w:tblBorders>
          <w:top w:val="single" w:color="DED6C4" w:sz="4"/>
          <w:left w:val="single" w:color="DED6C4" w:sz="4"/>
          <w:bottom w:val="single" w:color="DED6C4" w:sz="4"/>
          <w:right w:val="single" w:color="DED6C4" w:sz="4"/>
          <w:insideH w:val="single" w:color="DED6C4" w:sz="4"/>
          <w:insideV w:val="single" w:color="DED6C4" w:sz="4"/>
        </w:tblBorders>
      </w:tblPr>
      <w:tblGrid>
        <w:gridCol w:w="4680"/>
        <w:gridCol w:w="4680"/>
      </w:tblGrid>
      <w:tr>
        <w:tc>
          <w:tcPr>
            <w:tcW w:type="dxa" w:w="4680"/>
            <w:shd w:fill="16302A" w:val="clear"/>
            <w:tcMar>
              <w:top w:type="dxa" w:w="100"/>
              <w:left w:type="dxa" w:w="120"/>
              <w:bottom w:type="dxa" w:w="100"/>
              <w:right w:type="dxa" w:w="120"/>
            </w:tcMar>
          </w:tcPr>
          <w:p>
            <w:r>
              <w:rPr>
                <w:b/>
                <w:bCs/>
                <w:color w:val="F5F1E8"/>
                <w:sz w:val="19"/>
                <w:szCs w:val="19"/>
              </w:rPr>
              <w:t xml:space="preserve">Milestone</w:t>
            </w:r>
          </w:p>
        </w:tc>
        <w:tc>
          <w:tcPr>
            <w:tcW w:type="dxa" w:w="4680"/>
            <w:shd w:fill="16302A" w:val="clear"/>
            <w:tcMar>
              <w:top w:type="dxa" w:w="100"/>
              <w:left w:type="dxa" w:w="120"/>
              <w:bottom w:type="dxa" w:w="100"/>
              <w:right w:type="dxa" w:w="120"/>
            </w:tcMar>
          </w:tcPr>
          <w:p>
            <w:r>
              <w:rPr>
                <w:b/>
                <w:bCs/>
                <w:color w:val="F5F1E8"/>
                <w:sz w:val="19"/>
                <w:szCs w:val="19"/>
              </w:rPr>
              <w:t xml:space="preserve">Target date</w:t>
            </w:r>
          </w:p>
        </w:tc>
      </w:tr>
      <w:tr>
        <w:tc>
          <w:tcPr>
            <w:tcW w:type="dxa" w:w="4680"/>
            <w:tcMar>
              <w:top w:type="dxa" w:w="100"/>
              <w:left w:type="dxa" w:w="120"/>
              <w:bottom w:type="dxa" w:w="100"/>
              <w:right w:type="dxa" w:w="120"/>
            </w:tcMar>
          </w:tcPr>
          <w:p>
            <w:r>
              <w:rPr>
                <w:sz w:val="20"/>
                <w:szCs w:val="20"/>
              </w:rPr>
              <w:t xml:space="preserve">Recruiting starts</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Sessions run</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Synthesis complete</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Findings shared</w:t>
            </w:r>
          </w:p>
        </w:tc>
        <w:tc>
          <w:tcPr>
            <w:tcW w:type="dxa" w:w="4680"/>
            <w:tcMar>
              <w:top w:type="dxa" w:w="100"/>
              <w:left w:type="dxa" w:w="120"/>
              <w:bottom w:type="dxa" w:w="100"/>
              <w:right w:type="dxa" w:w="120"/>
            </w:tcMar>
          </w:tcPr>
          <w:p>
            <w:r>
              <w:rPr>
                <w:sz w:val="20"/>
                <w:szCs w:val="20"/>
              </w:rPr>
              <w:t xml:space="preserve"> </w:t>
            </w:r>
          </w:p>
        </w:tc>
      </w:tr>
    </w:tbl>
    <w:p>
      <w:pPr>
        <w:spacing w:after="300"/>
      </w:pPr>
    </w:p>
    <w:p>
      <w:pPr>
        <w:pBdr>
          <w:bottom w:val="single" w:color="16302A" w:sz="6" w:space="4"/>
        </w:pBdr>
        <w:spacing w:after="120" w:before="320"/>
      </w:pPr>
      <w:r>
        <w:rPr>
          <w:rFonts w:ascii="Georgia" w:cs="Georgia" w:eastAsia="Georgia" w:hAnsi="Georgia"/>
          <w:b/>
          <w:bCs/>
          <w:color w:val="16302A"/>
          <w:sz w:val="24"/>
          <w:szCs w:val="24"/>
        </w:rPr>
        <w:t xml:space="preserve">What Success Looks Like</w:t>
      </w:r>
    </w:p>
    <w:p>
      <w:pPr>
        <w:spacing w:after="120"/>
      </w:pPr>
      <w:r>
        <w:rPr>
          <w:i/>
          <w:iCs/>
          <w:color w:val="5E7A6C"/>
          <w:sz w:val="19"/>
          <w:szCs w:val="19"/>
        </w:rPr>
        <w:t xml:space="preserve">How will you know this research actually answered the question? Be specific — “good insights” isn't a criterion.</w:t>
      </w:r>
    </w:p>
    <w:p>
      <w:pPr>
        <w:pBdr>
          <w:bottom w:val="single" w:color="DED6C4" w:sz="4" w:space="2"/>
        </w:pBdr>
        <w:spacing w:after="160"/>
      </w:pPr>
      <w:r>
        <w:rPr>
          <w:i/>
          <w:iCs/>
          <w:color w:val="999999"/>
          <w:sz w:val="21"/>
          <w:szCs w:val="21"/>
        </w:rPr>
        <w:t xml:space="preserve">e.g. We can name the top 3 reasons for drop-off, ranked by frequency</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Who Needs to See This</w:t>
      </w:r>
    </w:p>
    <w:p>
      <w:pPr>
        <w:spacing w:after="120"/>
      </w:pPr>
      <w:r>
        <w:rPr>
          <w:i/>
          <w:iCs/>
          <w:color w:val="5E7A6C"/>
          <w:sz w:val="19"/>
          <w:szCs w:val="19"/>
        </w:rPr>
        <w:t xml:space="preserve">Name the people who need to act on the findings — not just be copied on the report.</w:t>
      </w:r>
    </w:p>
    <w:p>
      <w:pPr>
        <w:pBdr>
          <w:bottom w:val="single" w:color="DED6C4" w:sz="4" w:space="2"/>
        </w:pBdr>
        <w:spacing w:after="200"/>
      </w:pPr>
      <w:r>
        <w:rPr>
          <w:i/>
          <w:iCs/>
          <w:color w:val="999999"/>
          <w:sz w:val="21"/>
          <w:szCs w:val="21"/>
        </w:rPr>
        <w:t xml:space="preserve">e.g. Product lead, Head of Design, Engineering lead</w:t>
      </w:r>
    </w:p>
    <w:p>
      <w:pPr>
        <w:pBdr>
          <w:top w:val="single" w:color="DED6C4" w:sz="6" w:space="8"/>
        </w:pBdr>
        <w:spacing w:before="400"/>
      </w:pPr>
      <w:r>
        <w:rPr>
          <w:i/>
          <w:iCs/>
          <w:color w:val="5E7A6C"/>
          <w:sz w:val="17"/>
          <w:szCs w:val="17"/>
        </w:rPr>
        <w:t xml:space="preserve">Part of The UX Research Library — leiamanin.com</w:t>
      </w:r>
    </w:p>
    <w:p>
      <w:pPr>
        <w:pageBreakBefore/>
      </w:pPr>
    </w:p>
    <w:p>
      <w:pPr>
        <w:spacing w:after="80"/>
      </w:pPr>
      <w:r>
        <w:rPr>
          <w:rFonts w:ascii="Georgia" w:cs="Georgia" w:eastAsia="Georgia" w:hAnsi="Georgia"/>
          <w:b/>
          <w:bCs/>
          <w:color w:val="16302A"/>
          <w:sz w:val="40"/>
          <w:szCs w:val="40"/>
        </w:rPr>
        <w:t xml:space="preserve">How to Actually Use This Template</w:t>
      </w:r>
    </w:p>
    <w:p>
      <w:pPr>
        <w:pBdr>
          <w:bottom w:val="single" w:color="C9A24B" w:sz="10" w:space="6"/>
        </w:pBdr>
        <w:spacing w:after="300"/>
      </w:pPr>
      <w:r>
        <w:rPr>
          <w:i/>
          <w:iCs/>
          <w:color w:val="5E7A6C"/>
          <w:sz w:val="20"/>
          <w:szCs w:val="20"/>
        </w:rPr>
        <w:t xml:space="preserve">A blank template doesn't tell you when to use it, or what happens if you skip a section. This does.</w:t>
      </w:r>
    </w:p>
    <w:p>
      <w:pPr>
        <w:pBdr>
          <w:bottom w:val="single" w:color="16302A" w:sz="6" w:space="4"/>
        </w:pBdr>
        <w:spacing w:after="140" w:before="320"/>
      </w:pPr>
      <w:r>
        <w:rPr>
          <w:rFonts w:ascii="Georgia" w:cs="Georgia" w:eastAsia="Georgia" w:hAnsi="Georgia"/>
          <w:b/>
          <w:bCs/>
          <w:color w:val="16302A"/>
          <w:sz w:val="26"/>
          <w:szCs w:val="26"/>
        </w:rPr>
        <w:t xml:space="preserve">When to Use This</w:t>
      </w:r>
    </w:p>
    <w:p>
      <w:pPr>
        <w:spacing w:after="200"/>
      </w:pPr>
      <w:r>
        <w:rPr>
          <w:color w:val="222222"/>
          <w:sz w:val="21"/>
          <w:szCs w:val="21"/>
        </w:rPr>
        <w:t xml:space="preserve">Fill this out before you pick a method and before you talk to anyone about recruiting. If you're already deciding between a screener and a discussion guide, you've skipped a step — come back here first.</w:t>
      </w:r>
    </w:p>
    <w:p>
      <w:pPr>
        <w:spacing w:after="200"/>
      </w:pPr>
      <w:r>
        <w:rPr>
          <w:color w:val="222222"/>
          <w:sz w:val="21"/>
          <w:szCs w:val="21"/>
        </w:rPr>
        <w:t xml:space="preserve">It's most useful in two moments: when a stakeholder hands you a vague ask (“can we get some user feedback on this”) and you need to turn that into something specific enough to act on, or when you're about to spend budget on recruiting and want a sanity check before you commit.</w:t>
      </w:r>
    </w:p>
    <w:p>
      <w:pPr>
        <w:pBdr>
          <w:bottom w:val="single" w:color="16302A" w:sz="6" w:space="4"/>
        </w:pBdr>
        <w:spacing w:after="140" w:before="320"/>
      </w:pPr>
      <w:r>
        <w:rPr>
          <w:rFonts w:ascii="Georgia" w:cs="Georgia" w:eastAsia="Georgia" w:hAnsi="Georgia"/>
          <w:b/>
          <w:bCs/>
          <w:color w:val="16302A"/>
          <w:sz w:val="26"/>
          <w:szCs w:val="26"/>
        </w:rPr>
        <w:t xml:space="preserve">When to Skip It</w:t>
      </w:r>
    </w:p>
    <w:p>
      <w:pPr>
        <w:spacing w:after="200"/>
      </w:pPr>
      <w:r>
        <w:rPr>
          <w:color w:val="222222"/>
          <w:sz w:val="21"/>
          <w:szCs w:val="21"/>
        </w:rPr>
        <w:t xml:space="preserve">If the objective is already crystal clear, the method is obvious, and you're the only stakeholder who needs to sign off — you probably don't need the full form. Small, low-stakes studies with one clear question don't need a document; they need you to just go do it. The plan earns its keep when there's ambiguity or more than one person who needs to agree on what “done” looks like.</w:t>
      </w:r>
    </w:p>
    <w:p>
      <w:pPr>
        <w:pBdr>
          <w:bottom w:val="single" w:color="16302A" w:sz="6" w:space="4"/>
        </w:pBdr>
        <w:spacing w:after="140" w:before="320"/>
      </w:pPr>
      <w:r>
        <w:rPr>
          <w:rFonts w:ascii="Georgia" w:cs="Georgia" w:eastAsia="Georgia" w:hAnsi="Georgia"/>
          <w:b/>
          <w:bCs/>
          <w:color w:val="16302A"/>
          <w:sz w:val="26"/>
          <w:szCs w:val="26"/>
        </w:rPr>
        <w:t xml:space="preserve">The Mistake Almost Everyone Makes Here</w:t>
      </w:r>
    </w:p>
    <w:p>
      <w:pPr>
        <w:spacing w:after="200"/>
      </w:pPr>
      <w:r>
        <w:rPr>
          <w:color w:val="222222"/>
          <w:sz w:val="21"/>
          <w:szCs w:val="21"/>
        </w:rPr>
        <w:t xml:space="preserve">Research questions that are actually opinions wearing a question mark. “Do users find the new checkout confusing?” isn't a research question — it's a hypothesis you already believe, dressed up to look neutral. A real research question doesn't presume the answer:</w:t>
      </w:r>
    </w:p>
    <w:p>
      <w:pPr>
        <w:spacing w:after="120"/>
        <w:ind w:left="260"/>
      </w:pPr>
      <w:r>
        <w:rPr>
          <w:b/>
          <w:bCs/>
          <w:color w:val="C9A24B"/>
          <w:sz w:val="21"/>
          <w:szCs w:val="21"/>
        </w:rPr>
        <w:t xml:space="preserve">–  </w:t>
      </w:r>
      <w:r>
        <w:rPr>
          <w:color w:val="222222"/>
          <w:sz w:val="21"/>
          <w:szCs w:val="21"/>
        </w:rPr>
        <w:t xml:space="preserve">Weak: “Is the new checkout confusing?” — assumes yes, just looking for confirmation</w:t>
      </w:r>
    </w:p>
    <w:p>
      <w:pPr>
        <w:spacing w:after="120"/>
        <w:ind w:left="260"/>
      </w:pPr>
      <w:r>
        <w:rPr>
          <w:b/>
          <w:bCs/>
          <w:color w:val="C9A24B"/>
          <w:sz w:val="21"/>
          <w:szCs w:val="21"/>
        </w:rPr>
        <w:t xml:space="preserve">–  </w:t>
      </w:r>
      <w:r>
        <w:rPr>
          <w:color w:val="222222"/>
          <w:sz w:val="21"/>
          <w:szCs w:val="21"/>
        </w:rPr>
        <w:t xml:space="preserve">Better: “Where in the checkout flow do people hesitate or backtrack, and why?” — open to whatever you actually find</w:t>
      </w:r>
    </w:p>
    <w:p>
      <w:pPr>
        <w:spacing w:after="200"/>
      </w:pPr>
      <w:r>
        <w:rPr>
          <w:color w:val="222222"/>
          <w:sz w:val="21"/>
          <w:szCs w:val="21"/>
        </w:rPr>
        <w:t xml:space="preserve">If every research question in your plan already implies its own answer, that's worth pausing on before you recruit anyone — you'll find exactly what you went looking for, which isn't the same as finding the truth.</w:t>
      </w:r>
    </w:p>
    <w:p>
      <w:pPr>
        <w:pBdr>
          <w:bottom w:val="single" w:color="16302A" w:sz="6" w:space="4"/>
        </w:pBdr>
        <w:spacing w:after="140" w:before="320"/>
      </w:pPr>
      <w:r>
        <w:rPr>
          <w:rFonts w:ascii="Georgia" w:cs="Georgia" w:eastAsia="Georgia" w:hAnsi="Georgia"/>
          <w:b/>
          <w:bCs/>
          <w:color w:val="16302A"/>
          <w:sz w:val="26"/>
          <w:szCs w:val="26"/>
        </w:rPr>
        <w:t xml:space="preserve">One More Thing</w:t>
      </w:r>
    </w:p>
    <w:p>
      <w:pPr>
        <w:spacing w:after="200"/>
      </w:pPr>
      <w:r>
        <w:rPr>
          <w:color w:val="222222"/>
          <w:sz w:val="21"/>
          <w:szCs w:val="21"/>
        </w:rPr>
        <w:t xml:space="preserve">This template covers the plan itself — the shape of the study before it starts. The Research Planning &amp; Recruitment handbook goes further: how to write a screener that actually filters out the wrong people, how to think about sample size when there's no textbook answer for your situation, and how to handle the stakeholder who wants to change the objective halfway through recruiting.</w:t>
      </w:r>
    </w:p>
    <w:p>
      <w:pPr>
        <w:pBdr>
          <w:top w:val="single" w:color="DED6C4" w:sz="6" w:space="8"/>
        </w:pBdr>
        <w:spacing w:before="400"/>
      </w:pPr>
      <w:r>
        <w:rPr>
          <w:i/>
          <w:iCs/>
          <w:color w:val="5E7A6C"/>
          <w:sz w:val="17"/>
          <w:szCs w:val="17"/>
        </w:rPr>
        <w:t xml:space="preserve">Part of The UX Research Library — leiamanin.com</w:t>
      </w:r>
    </w:p>
    <w:p>
      <w:pPr>
        <w:pageBreakBefore/>
        <w:pBdr>
          <w:top w:val="single" w:color="C9A24B" w:sz="8" w:space="10"/>
          <w:bottom w:val="single" w:color="C9A24B" w:sz="8" w:space="10"/>
        </w:pBdr>
        <w:spacing w:after="260"/>
        <w:jc w:val="center"/>
      </w:pPr>
      <w:r>
        <w:rPr>
          <w:b/>
          <w:bCs/>
          <w:i/>
          <w:iCs/>
          <w:color w:val="C9A24B"/>
          <w:sz w:val="21"/>
          <w:szCs w:val="21"/>
        </w:rPr>
        <w:t xml:space="preserve">La version française suit  ·  French version follows below</w:t>
      </w:r>
    </w:p>
    <w:p>
      <w:pPr>
        <w:spacing w:after="40"/>
      </w:pPr>
      <w:r>
        <w:rPr>
          <w:b/>
          <w:bCs/>
          <w:color w:val="C9A24B"/>
          <w:spacing w:val="24"/>
          <w:sz w:val="18"/>
          <w:szCs w:val="18"/>
        </w:rPr>
        <w:t xml:space="preserve">MODÈLE DE PLAN DE RECHERCHE</w:t>
      </w:r>
    </w:p>
    <w:p>
      <w:pPr>
        <w:spacing w:after="80"/>
      </w:pPr>
      <w:r>
        <w:rPr>
          <w:rFonts w:ascii="Georgia" w:cs="Georgia" w:eastAsia="Georgia" w:hAnsi="Georgia"/>
          <w:b/>
          <w:bCs/>
          <w:color w:val="16302A"/>
          <w:sz w:val="44"/>
          <w:szCs w:val="44"/>
        </w:rPr>
        <w:t xml:space="preserve">Plan de recherche</w:t>
      </w:r>
    </w:p>
    <w:p>
      <w:pPr>
        <w:pBdr>
          <w:bottom w:val="single" w:color="C9A24B" w:sz="10" w:space="6"/>
        </w:pBdr>
        <w:spacing w:after="300"/>
      </w:pPr>
      <w:r>
        <w:rPr>
          <w:i/>
          <w:iCs/>
          <w:color w:val="5E7A6C"/>
          <w:sz w:val="20"/>
          <w:szCs w:val="20"/>
        </w:rPr>
        <w:t xml:space="preserve">Remplissez chaque section avant de commencer le recrutement ou de choisir une méthode. Si une section est difficile à remplir, c'est un signal à ne pas ignorer — cela signifie souvent que le plan n'est pas encore prêt.</w:t>
      </w:r>
    </w:p>
    <w:p>
      <w:pPr>
        <w:pBdr>
          <w:bottom w:val="single" w:color="16302A" w:sz="6" w:space="4"/>
        </w:pBdr>
        <w:spacing w:after="120" w:before="320"/>
      </w:pPr>
      <w:r>
        <w:rPr>
          <w:rFonts w:ascii="Georgia" w:cs="Georgia" w:eastAsia="Georgia" w:hAnsi="Georgia"/>
          <w:b/>
          <w:bCs/>
          <w:color w:val="16302A"/>
          <w:sz w:val="24"/>
          <w:szCs w:val="24"/>
        </w:rPr>
        <w:t xml:space="preserve">Informations de base</w:t>
      </w:r>
    </w:p>
    <w:p>
      <w:pPr>
        <w:spacing w:after="120"/>
      </w:pPr>
      <w:r>
        <w:rPr>
          <w:i/>
          <w:iCs/>
          <w:color w:val="5E7A6C"/>
          <w:sz w:val="19"/>
          <w:szCs w:val="19"/>
        </w:rPr>
        <w:t xml:space="preserve">Nom du projet</w:t>
      </w:r>
    </w:p>
    <w:p>
      <w:pPr>
        <w:pBdr>
          <w:bottom w:val="single" w:color="DED6C4" w:sz="4" w:space="2"/>
        </w:pBdr>
        <w:spacing w:after="200"/>
      </w:pPr>
      <w:r>
        <w:rPr>
          <w:i/>
          <w:iCs/>
          <w:color w:val="999999"/>
          <w:sz w:val="21"/>
          <w:szCs w:val="21"/>
        </w:rPr>
        <w:t xml:space="preserve">ex. Recherche sur le parcours de paiement — T3 2026</w:t>
      </w:r>
    </w:p>
    <w:p>
      <w:pPr>
        <w:spacing w:after="120"/>
      </w:pPr>
      <w:r>
        <w:rPr>
          <w:i/>
          <w:iCs/>
          <w:color w:val="5E7A6C"/>
          <w:sz w:val="19"/>
          <w:szCs w:val="19"/>
        </w:rPr>
        <w:t xml:space="preserve">Qui demande cette recherche, et pourquoi maintenant ?</w:t>
      </w:r>
    </w:p>
    <w:p>
      <w:pPr>
        <w:pBdr>
          <w:bottom w:val="single" w:color="DED6C4" w:sz="4" w:space="2"/>
        </w:pBdr>
        <w:spacing w:after="200"/>
      </w:pPr>
      <w:r>
        <w:rPr>
          <w:i/>
          <w:iCs/>
          <w:color w:val="999999"/>
          <w:sz w:val="21"/>
          <w:szCs w:val="21"/>
        </w:rPr>
        <w:t xml:space="preserve">ex. Chef de produit — le taux d'abandon au paiement a augmenté après la refonte</w:t>
      </w:r>
    </w:p>
    <w:p>
      <w:pPr>
        <w:pBdr>
          <w:bottom w:val="single" w:color="16302A" w:sz="6" w:space="4"/>
        </w:pBdr>
        <w:spacing w:after="120" w:before="320"/>
      </w:pPr>
      <w:r>
        <w:rPr>
          <w:rFonts w:ascii="Georgia" w:cs="Georgia" w:eastAsia="Georgia" w:hAnsi="Georgia"/>
          <w:b/>
          <w:bCs/>
          <w:color w:val="16302A"/>
          <w:sz w:val="24"/>
          <w:szCs w:val="24"/>
        </w:rPr>
        <w:t xml:space="preserve">Objectif de recherche</w:t>
      </w:r>
    </w:p>
    <w:p>
      <w:pPr>
        <w:spacing w:after="120"/>
      </w:pPr>
      <w:r>
        <w:rPr>
          <w:i/>
          <w:iCs/>
          <w:color w:val="5E7A6C"/>
          <w:sz w:val="19"/>
          <w:szCs w:val="19"/>
        </w:rPr>
        <w:t xml:space="preserve">Une phrase. Quelle décision cette recherche va-t-elle éclairer ?</w:t>
      </w:r>
    </w:p>
    <w:p>
      <w:pPr>
        <w:pBdr>
          <w:bottom w:val="single" w:color="DED6C4" w:sz="4" w:space="2"/>
        </w:pBdr>
        <w:spacing w:after="160"/>
      </w:pPr>
      <w:r>
        <w:rPr>
          <w:i/>
          <w:iCs/>
          <w:color w:val="999999"/>
          <w:sz w:val="21"/>
          <w:szCs w:val="21"/>
        </w:rPr>
        <w:t xml:space="preserve">ex. Comprendre pourquoi les utilisateurs abandonnent le paiement après avoir ajouté un moyen de paiement</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Questions de recherche</w:t>
      </w:r>
    </w:p>
    <w:p>
      <w:pPr>
        <w:spacing w:after="120"/>
      </w:pPr>
      <w:r>
        <w:rPr>
          <w:i/>
          <w:iCs/>
          <w:color w:val="5E7A6C"/>
          <w:sz w:val="19"/>
          <w:szCs w:val="19"/>
        </w:rPr>
        <w:t xml:space="preserve">3 à 5 questions précises auxquelles cette recherche doit répondre. Évitez les questions qui sont en réalité des opinions déguisées (voir le guide d'accompagnement pour plus de détails).</w:t>
      </w:r>
    </w:p>
    <w:p>
      <w:pPr>
        <w:pStyle w:val="ListParagraph"/>
        <w:numPr>
          <w:ilvl w:val="0"/>
          <w:numId w:val="3"/>
        </w:numPr>
        <w:pBdr>
          <w:bottom w:val="single" w:color="DED6C4" w:sz="4" w:space="2"/>
        </w:pBdr>
        <w:spacing w:after="140"/>
      </w:pPr>
      <w:r>
        <w:rPr>
          <w:sz w:val="21"/>
          <w:szCs w:val="21"/>
        </w:rPr>
        <w:t xml:space="preserve"/>
      </w:r>
    </w:p>
    <w:p>
      <w:pPr>
        <w:pStyle w:val="ListParagraph"/>
        <w:numPr>
          <w:ilvl w:val="0"/>
          <w:numId w:val="3"/>
        </w:numPr>
        <w:pBdr>
          <w:bottom w:val="single" w:color="DED6C4" w:sz="4" w:space="2"/>
        </w:pBdr>
        <w:spacing w:after="140"/>
      </w:pPr>
      <w:r>
        <w:rPr>
          <w:sz w:val="21"/>
          <w:szCs w:val="21"/>
        </w:rPr>
        <w:t xml:space="preserve"/>
      </w:r>
    </w:p>
    <w:p>
      <w:pPr>
        <w:pStyle w:val="ListParagraph"/>
        <w:numPr>
          <w:ilvl w:val="0"/>
          <w:numId w:val="3"/>
        </w:numPr>
        <w:pBdr>
          <w:bottom w:val="single" w:color="DED6C4" w:sz="4" w:space="2"/>
        </w:pBdr>
        <w:spacing w:after="140"/>
      </w:pPr>
      <w:r>
        <w:rPr>
          <w:sz w:val="21"/>
          <w:szCs w:val="21"/>
        </w:rPr>
        <w:t xml:space="preserve"/>
      </w:r>
    </w:p>
    <w:p>
      <w:pPr>
        <w:pStyle w:val="ListParagraph"/>
        <w:numPr>
          <w:ilvl w:val="0"/>
          <w:numId w:val="3"/>
        </w:numPr>
        <w:pBdr>
          <w:bottom w:val="single" w:color="DED6C4" w:sz="4" w:space="2"/>
        </w:pBdr>
        <w:spacing w:after="140"/>
      </w:pPr>
      <w:r>
        <w:rPr>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Méthode</w:t>
      </w:r>
    </w:p>
    <w:p>
      <w:pPr>
        <w:spacing w:after="120"/>
      </w:pPr>
      <w:r>
        <w:rPr>
          <w:i/>
          <w:iCs/>
          <w:color w:val="5E7A6C"/>
          <w:sz w:val="19"/>
          <w:szCs w:val="19"/>
        </w:rPr>
        <w:t xml:space="preserve">Quelle(s) méthode(s), et pourquoi celle-ci plutôt qu'une autre ?</w:t>
      </w:r>
    </w:p>
    <w:p>
      <w:pPr>
        <w:pBdr>
          <w:bottom w:val="single" w:color="DED6C4" w:sz="4" w:space="2"/>
        </w:pBdr>
        <w:spacing w:after="160"/>
      </w:pPr>
      <w:r>
        <w:rPr>
          <w:i/>
          <w:iCs/>
          <w:color w:val="999999"/>
          <w:sz w:val="21"/>
          <w:szCs w:val="21"/>
        </w:rPr>
        <w:t xml:space="preserve">ex. Test d'utilisabilité — nous devons observer où les utilisateurs hésitent, pas seulement entendre leurs opinions</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Participants</w:t>
      </w:r>
    </w:p>
    <w:p>
      <w:pPr>
        <w:spacing w:after="120"/>
      </w:pPr>
      <w:r>
        <w:rPr>
          <w:i/>
          <w:iCs/>
          <w:color w:val="5E7A6C"/>
          <w:sz w:val="19"/>
          <w:szCs w:val="19"/>
        </w:rPr>
        <w:t xml:space="preserve">Qui, combien, et comment allez-vous les trouver ?</w:t>
      </w:r>
    </w:p>
    <w:tbl>
      <w:tblPr>
        <w:tblW w:type="pct" w:w="100%"/>
        <w:tblBorders>
          <w:top w:val="single" w:color="DED6C4" w:sz="4"/>
          <w:left w:val="single" w:color="DED6C4" w:sz="4"/>
          <w:bottom w:val="single" w:color="DED6C4" w:sz="4"/>
          <w:right w:val="single" w:color="DED6C4" w:sz="4"/>
          <w:insideH w:val="single" w:color="DED6C4" w:sz="4"/>
          <w:insideV w:val="single" w:color="DED6C4" w:sz="4"/>
        </w:tblBorders>
      </w:tblPr>
      <w:tblGrid>
        <w:gridCol w:w="100"/>
        <w:gridCol w:w="100"/>
      </w:tblGrid>
      <w:tr>
        <w:tc>
          <w:tcPr>
            <w:tcW w:type="pct" w:w="34%"/>
            <w:shd w:fill="F6EFDE" w:val="clear"/>
            <w:tcMar>
              <w:top w:type="dxa" w:w="100"/>
              <w:left w:type="dxa" w:w="120"/>
              <w:bottom w:type="dxa" w:w="100"/>
              <w:right w:type="dxa" w:w="120"/>
            </w:tcMar>
          </w:tcPr>
          <w:p>
            <w:r>
              <w:rPr>
                <w:b/>
                <w:bCs/>
                <w:color w:val="16302A"/>
                <w:sz w:val="19"/>
                <w:szCs w:val="19"/>
              </w:rPr>
              <w:t xml:space="preserve">Critères de sélection</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Nombre de participants</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Source de recrutement</w:t>
            </w:r>
          </w:p>
        </w:tc>
        <w:tc>
          <w:tcPr>
            <w:tcW w:type="pct" w:w="66%"/>
            <w:tcMar>
              <w:top w:type="dxa" w:w="100"/>
              <w:left w:type="dxa" w:w="120"/>
              <w:bottom w:type="dxa" w:w="100"/>
              <w:right w:type="dxa" w:w="120"/>
            </w:tcMar>
          </w:tcPr>
          <w:p>
            <w:r>
              <w:rPr>
                <w:sz w:val="20"/>
                <w:szCs w:val="20"/>
              </w:rPr>
              <w:t xml:space="preserve"> </w:t>
            </w:r>
          </w:p>
        </w:tc>
      </w:tr>
      <w:tr>
        <w:tc>
          <w:tcPr>
            <w:tcW w:type="pct" w:w="34%"/>
            <w:shd w:fill="F6EFDE" w:val="clear"/>
            <w:tcMar>
              <w:top w:type="dxa" w:w="100"/>
              <w:left w:type="dxa" w:w="120"/>
              <w:bottom w:type="dxa" w:w="100"/>
              <w:right w:type="dxa" w:w="120"/>
            </w:tcMar>
          </w:tcPr>
          <w:p>
            <w:r>
              <w:rPr>
                <w:b/>
                <w:bCs/>
                <w:color w:val="16302A"/>
                <w:sz w:val="19"/>
                <w:szCs w:val="19"/>
              </w:rPr>
              <w:t xml:space="preserve">Compensation</w:t>
            </w:r>
          </w:p>
        </w:tc>
        <w:tc>
          <w:tcPr>
            <w:tcW w:type="pct" w:w="66%"/>
            <w:tcMar>
              <w:top w:type="dxa" w:w="100"/>
              <w:left w:type="dxa" w:w="120"/>
              <w:bottom w:type="dxa" w:w="100"/>
              <w:right w:type="dxa" w:w="120"/>
            </w:tcMar>
          </w:tcPr>
          <w:p>
            <w:r>
              <w:rPr>
                <w:sz w:val="20"/>
                <w:szCs w:val="20"/>
              </w:rPr>
              <w:t xml:space="preserve"> </w:t>
            </w:r>
          </w:p>
        </w:tc>
      </w:tr>
    </w:tbl>
    <w:p>
      <w:pPr>
        <w:spacing w:after="300"/>
      </w:pPr>
    </w:p>
    <w:p>
      <w:pPr>
        <w:pBdr>
          <w:bottom w:val="single" w:color="16302A" w:sz="6" w:space="4"/>
        </w:pBdr>
        <w:spacing w:after="120" w:before="320"/>
      </w:pPr>
      <w:r>
        <w:rPr>
          <w:rFonts w:ascii="Georgia" w:cs="Georgia" w:eastAsia="Georgia" w:hAnsi="Georgia"/>
          <w:b/>
          <w:bCs/>
          <w:color w:val="16302A"/>
          <w:sz w:val="24"/>
          <w:szCs w:val="24"/>
        </w:rPr>
        <w:t xml:space="preserve">Calendrier</w:t>
      </w:r>
    </w:p>
    <w:tbl>
      <w:tblPr>
        <w:tblW w:type="pct" w:w="100%"/>
        <w:tblBorders>
          <w:top w:val="single" w:color="DED6C4" w:sz="4"/>
          <w:left w:val="single" w:color="DED6C4" w:sz="4"/>
          <w:bottom w:val="single" w:color="DED6C4" w:sz="4"/>
          <w:right w:val="single" w:color="DED6C4" w:sz="4"/>
          <w:insideH w:val="single" w:color="DED6C4" w:sz="4"/>
          <w:insideV w:val="single" w:color="DED6C4" w:sz="4"/>
        </w:tblBorders>
      </w:tblPr>
      <w:tblGrid>
        <w:gridCol w:w="4680"/>
        <w:gridCol w:w="4680"/>
      </w:tblGrid>
      <w:tr>
        <w:tc>
          <w:tcPr>
            <w:tcW w:type="dxa" w:w="4680"/>
            <w:shd w:fill="16302A" w:val="clear"/>
            <w:tcMar>
              <w:top w:type="dxa" w:w="100"/>
              <w:left w:type="dxa" w:w="120"/>
              <w:bottom w:type="dxa" w:w="100"/>
              <w:right w:type="dxa" w:w="120"/>
            </w:tcMar>
          </w:tcPr>
          <w:p>
            <w:r>
              <w:rPr>
                <w:b/>
                <w:bCs/>
                <w:color w:val="F5F1E8"/>
                <w:sz w:val="19"/>
                <w:szCs w:val="19"/>
              </w:rPr>
              <w:t xml:space="preserve">Étape</w:t>
            </w:r>
          </w:p>
        </w:tc>
        <w:tc>
          <w:tcPr>
            <w:tcW w:type="dxa" w:w="4680"/>
            <w:shd w:fill="16302A" w:val="clear"/>
            <w:tcMar>
              <w:top w:type="dxa" w:w="100"/>
              <w:left w:type="dxa" w:w="120"/>
              <w:bottom w:type="dxa" w:w="100"/>
              <w:right w:type="dxa" w:w="120"/>
            </w:tcMar>
          </w:tcPr>
          <w:p>
            <w:r>
              <w:rPr>
                <w:b/>
                <w:bCs/>
                <w:color w:val="F5F1E8"/>
                <w:sz w:val="19"/>
                <w:szCs w:val="19"/>
              </w:rPr>
              <w:t xml:space="preserve">Date cible</w:t>
            </w:r>
          </w:p>
        </w:tc>
      </w:tr>
      <w:tr>
        <w:tc>
          <w:tcPr>
            <w:tcW w:type="dxa" w:w="4680"/>
            <w:tcMar>
              <w:top w:type="dxa" w:w="100"/>
              <w:left w:type="dxa" w:w="120"/>
              <w:bottom w:type="dxa" w:w="100"/>
              <w:right w:type="dxa" w:w="120"/>
            </w:tcMar>
          </w:tcPr>
          <w:p>
            <w:r>
              <w:rPr>
                <w:sz w:val="20"/>
                <w:szCs w:val="20"/>
              </w:rPr>
              <w:t xml:space="preserve">Début du recrutement</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Sessions menées</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Synthèse terminée</w:t>
            </w:r>
          </w:p>
        </w:tc>
        <w:tc>
          <w:tcPr>
            <w:tcW w:type="dxa" w:w="4680"/>
            <w:tcMar>
              <w:top w:type="dxa" w:w="100"/>
              <w:left w:type="dxa" w:w="120"/>
              <w:bottom w:type="dxa" w:w="100"/>
              <w:right w:type="dxa" w:w="120"/>
            </w:tcMar>
          </w:tcPr>
          <w:p>
            <w:r>
              <w:rPr>
                <w:sz w:val="20"/>
                <w:szCs w:val="20"/>
              </w:rPr>
              <w:t xml:space="preserve"> </w:t>
            </w:r>
          </w:p>
        </w:tc>
      </w:tr>
      <w:tr>
        <w:tc>
          <w:tcPr>
            <w:tcW w:type="dxa" w:w="4680"/>
            <w:tcMar>
              <w:top w:type="dxa" w:w="100"/>
              <w:left w:type="dxa" w:w="120"/>
              <w:bottom w:type="dxa" w:w="100"/>
              <w:right w:type="dxa" w:w="120"/>
            </w:tcMar>
          </w:tcPr>
          <w:p>
            <w:r>
              <w:rPr>
                <w:sz w:val="20"/>
                <w:szCs w:val="20"/>
              </w:rPr>
              <w:t xml:space="preserve">Résultats partagés</w:t>
            </w:r>
          </w:p>
        </w:tc>
        <w:tc>
          <w:tcPr>
            <w:tcW w:type="dxa" w:w="4680"/>
            <w:tcMar>
              <w:top w:type="dxa" w:w="100"/>
              <w:left w:type="dxa" w:w="120"/>
              <w:bottom w:type="dxa" w:w="100"/>
              <w:right w:type="dxa" w:w="120"/>
            </w:tcMar>
          </w:tcPr>
          <w:p>
            <w:r>
              <w:rPr>
                <w:sz w:val="20"/>
                <w:szCs w:val="20"/>
              </w:rPr>
              <w:t xml:space="preserve"> </w:t>
            </w:r>
          </w:p>
        </w:tc>
      </w:tr>
    </w:tbl>
    <w:p>
      <w:pPr>
        <w:spacing w:after="300"/>
      </w:pPr>
    </w:p>
    <w:p>
      <w:pPr>
        <w:pBdr>
          <w:bottom w:val="single" w:color="16302A" w:sz="6" w:space="4"/>
        </w:pBdr>
        <w:spacing w:after="120" w:before="320"/>
      </w:pPr>
      <w:r>
        <w:rPr>
          <w:rFonts w:ascii="Georgia" w:cs="Georgia" w:eastAsia="Georgia" w:hAnsi="Georgia"/>
          <w:b/>
          <w:bCs/>
          <w:color w:val="16302A"/>
          <w:sz w:val="24"/>
          <w:szCs w:val="24"/>
        </w:rPr>
        <w:t xml:space="preserve">À quoi ressemble le succès</w:t>
      </w:r>
    </w:p>
    <w:p>
      <w:pPr>
        <w:spacing w:after="120"/>
      </w:pPr>
      <w:r>
        <w:rPr>
          <w:i/>
          <w:iCs/>
          <w:color w:val="5E7A6C"/>
          <w:sz w:val="19"/>
          <w:szCs w:val="19"/>
        </w:rPr>
        <w:t xml:space="preserve">Comment saurez-vous que cette recherche a réellement répondu à la question ? Soyez précis — « de bons insights » n'est pas un critère.</w:t>
      </w:r>
    </w:p>
    <w:p>
      <w:pPr>
        <w:pBdr>
          <w:bottom w:val="single" w:color="DED6C4" w:sz="4" w:space="2"/>
        </w:pBdr>
        <w:spacing w:after="160"/>
      </w:pPr>
      <w:r>
        <w:rPr>
          <w:i/>
          <w:iCs/>
          <w:color w:val="999999"/>
          <w:sz w:val="21"/>
          <w:szCs w:val="21"/>
        </w:rPr>
        <w:t xml:space="preserve">ex. Nous pouvons nommer les 3 principales raisons d'abandon, classées par fréquence</w:t>
      </w:r>
    </w:p>
    <w:p>
      <w:pPr>
        <w:pBdr>
          <w:bottom w:val="single" w:color="DED6C4" w:sz="4" w:space="2"/>
        </w:pBdr>
        <w:spacing w:after="160"/>
      </w:pPr>
      <w:r>
        <w:rPr>
          <w:i/>
          <w:iCs/>
          <w:color w:val="999999"/>
          <w:sz w:val="21"/>
          <w:szCs w:val="21"/>
        </w:rPr>
        <w:t xml:space="preserve"/>
      </w:r>
    </w:p>
    <w:p>
      <w:pPr>
        <w:pBdr>
          <w:bottom w:val="single" w:color="16302A" w:sz="6" w:space="4"/>
        </w:pBdr>
        <w:spacing w:after="120" w:before="320"/>
      </w:pPr>
      <w:r>
        <w:rPr>
          <w:rFonts w:ascii="Georgia" w:cs="Georgia" w:eastAsia="Georgia" w:hAnsi="Georgia"/>
          <w:b/>
          <w:bCs/>
          <w:color w:val="16302A"/>
          <w:sz w:val="24"/>
          <w:szCs w:val="24"/>
        </w:rPr>
        <w:t xml:space="preserve">Qui doit en prendre connaissance</w:t>
      </w:r>
    </w:p>
    <w:p>
      <w:pPr>
        <w:spacing w:after="120"/>
      </w:pPr>
      <w:r>
        <w:rPr>
          <w:i/>
          <w:iCs/>
          <w:color w:val="5E7A6C"/>
          <w:sz w:val="19"/>
          <w:szCs w:val="19"/>
        </w:rPr>
        <w:t xml:space="preserve">Nommez les personnes qui doivent agir sur les résultats — pas seulement être en copie du rapport.</w:t>
      </w:r>
    </w:p>
    <w:p>
      <w:pPr>
        <w:pBdr>
          <w:bottom w:val="single" w:color="DED6C4" w:sz="4" w:space="2"/>
        </w:pBdr>
        <w:spacing w:after="200"/>
      </w:pPr>
      <w:r>
        <w:rPr>
          <w:i/>
          <w:iCs/>
          <w:color w:val="999999"/>
          <w:sz w:val="21"/>
          <w:szCs w:val="21"/>
        </w:rPr>
        <w:t xml:space="preserve">ex. Chef de produit, Responsable design, Responsable ingénierie</w:t>
      </w:r>
    </w:p>
    <w:p>
      <w:pPr>
        <w:pBdr>
          <w:top w:val="single" w:color="DED6C4" w:sz="6" w:space="8"/>
        </w:pBdr>
        <w:spacing w:before="400"/>
      </w:pPr>
      <w:r>
        <w:rPr>
          <w:i/>
          <w:iCs/>
          <w:color w:val="5E7A6C"/>
          <w:sz w:val="17"/>
          <w:szCs w:val="17"/>
        </w:rPr>
        <w:t xml:space="preserve">Un outil de la UX Research Library — leiamanin.com</w:t>
      </w:r>
    </w:p>
    <w:p>
      <w:pPr>
        <w:pageBreakBefore/>
      </w:pPr>
    </w:p>
    <w:p>
      <w:pPr>
        <w:spacing w:after="80"/>
      </w:pPr>
      <w:r>
        <w:rPr>
          <w:rFonts w:ascii="Georgia" w:cs="Georgia" w:eastAsia="Georgia" w:hAnsi="Georgia"/>
          <w:b/>
          <w:bCs/>
          <w:color w:val="16302A"/>
          <w:sz w:val="40"/>
          <w:szCs w:val="40"/>
        </w:rPr>
        <w:t xml:space="preserve">Comment vraiment utiliser ce modèle</w:t>
      </w:r>
    </w:p>
    <w:p>
      <w:pPr>
        <w:pBdr>
          <w:bottom w:val="single" w:color="C9A24B" w:sz="10" w:space="6"/>
        </w:pBdr>
        <w:spacing w:after="300"/>
      </w:pPr>
      <w:r>
        <w:rPr>
          <w:i/>
          <w:iCs/>
          <w:color w:val="5E7A6C"/>
          <w:sz w:val="20"/>
          <w:szCs w:val="20"/>
        </w:rPr>
        <w:t xml:space="preserve">Un modèle vide ne vous dit pas quand l'utiliser, ni ce qui se passe si vous sautez une section. Ce guide, si.</w:t>
      </w:r>
    </w:p>
    <w:p>
      <w:pPr>
        <w:pBdr>
          <w:bottom w:val="single" w:color="16302A" w:sz="6" w:space="4"/>
        </w:pBdr>
        <w:spacing w:after="140" w:before="320"/>
      </w:pPr>
      <w:r>
        <w:rPr>
          <w:rFonts w:ascii="Georgia" w:cs="Georgia" w:eastAsia="Georgia" w:hAnsi="Georgia"/>
          <w:b/>
          <w:bCs/>
          <w:color w:val="16302A"/>
          <w:sz w:val="26"/>
          <w:szCs w:val="26"/>
        </w:rPr>
        <w:t xml:space="preserve">Quand l'utiliser</w:t>
      </w:r>
    </w:p>
    <w:p>
      <w:pPr>
        <w:spacing w:after="200"/>
      </w:pPr>
      <w:r>
        <w:rPr>
          <w:color w:val="222222"/>
          <w:sz w:val="21"/>
          <w:szCs w:val="21"/>
        </w:rPr>
        <w:t xml:space="preserve">Remplissez ce document avant de choisir une méthode et avant de parler de recrutement à qui que ce soit. Si vous êtes déjà en train de choisir entre un questionnaire de sélection et un guide d'entretien, vous avez sauté une étape — revenez ici d'abord.</w:t>
      </w:r>
    </w:p>
    <w:p>
      <w:pPr>
        <w:spacing w:after="200"/>
      </w:pPr>
      <w:r>
        <w:rPr>
          <w:color w:val="222222"/>
          <w:sz w:val="21"/>
          <w:szCs w:val="21"/>
        </w:rPr>
        <w:t xml:space="preserve">Il est surtout utile dans deux situations : quand une partie prenante vous fait une demande vague (« peut-on avoir un retour des utilisateurs là-dessus ? ») et que vous devez la transformer en quelque chose d'assez précis pour agir, ou quand vous êtes sur le point de dépenser un budget de recrutement et voulez une vérification avant de vous engager.</w:t>
      </w:r>
    </w:p>
    <w:p>
      <w:pPr>
        <w:pBdr>
          <w:bottom w:val="single" w:color="16302A" w:sz="6" w:space="4"/>
        </w:pBdr>
        <w:spacing w:after="140" w:before="320"/>
      </w:pPr>
      <w:r>
        <w:rPr>
          <w:rFonts w:ascii="Georgia" w:cs="Georgia" w:eastAsia="Georgia" w:hAnsi="Georgia"/>
          <w:b/>
          <w:bCs/>
          <w:color w:val="16302A"/>
          <w:sz w:val="26"/>
          <w:szCs w:val="26"/>
        </w:rPr>
        <w:t xml:space="preserve">Quand s'en passer</w:t>
      </w:r>
    </w:p>
    <w:p>
      <w:pPr>
        <w:spacing w:after="200"/>
      </w:pPr>
      <w:r>
        <w:rPr>
          <w:color w:val="222222"/>
          <w:sz w:val="21"/>
          <w:szCs w:val="21"/>
        </w:rPr>
        <w:t xml:space="preserve">Si l'objectif est déjà parfaitement clair, la méthode est évidente, et vous êtes la seule personne à devoir valider — vous n'avez probablement pas besoin du formulaire complet. Les petites études à faible enjeu avec une question claire n'ont pas besoin d'un document ; elles ont besoin que vous passiez simplement à l'action. Le plan devient utile en cas d'ambiguïté, ou quand plusieurs personnes doivent s'accorder sur ce à quoi ressemble « terminé ».</w:t>
      </w:r>
    </w:p>
    <w:p>
      <w:pPr>
        <w:pBdr>
          <w:bottom w:val="single" w:color="16302A" w:sz="6" w:space="4"/>
        </w:pBdr>
        <w:spacing w:after="140" w:before="320"/>
      </w:pPr>
      <w:r>
        <w:rPr>
          <w:rFonts w:ascii="Georgia" w:cs="Georgia" w:eastAsia="Georgia" w:hAnsi="Georgia"/>
          <w:b/>
          <w:bCs/>
          <w:color w:val="16302A"/>
          <w:sz w:val="26"/>
          <w:szCs w:val="26"/>
        </w:rPr>
        <w:t xml:space="preserve">L'erreur que presque tout le monde commet</w:t>
      </w:r>
    </w:p>
    <w:p>
      <w:pPr>
        <w:spacing w:after="200"/>
      </w:pPr>
      <w:r>
        <w:rPr>
          <w:color w:val="222222"/>
          <w:sz w:val="21"/>
          <w:szCs w:val="21"/>
        </w:rPr>
        <w:t xml:space="preserve">Des questions de recherche qui sont en réalité des opinions déguisées en question. « Les utilisateurs trouvent-ils le nouveau paiement confus ? » n'est pas une question de recherche — c'est une hypothèse que vous croyez déjà, habillée pour paraître neutre. Une vraie question de recherche ne présuppose pas la réponse :</w:t>
      </w:r>
    </w:p>
    <w:p>
      <w:pPr>
        <w:spacing w:after="120"/>
        <w:ind w:left="260"/>
      </w:pPr>
      <w:r>
        <w:rPr>
          <w:b/>
          <w:bCs/>
          <w:color w:val="C9A24B"/>
          <w:sz w:val="21"/>
          <w:szCs w:val="21"/>
        </w:rPr>
        <w:t xml:space="preserve">–  </w:t>
      </w:r>
      <w:r>
        <w:rPr>
          <w:color w:val="222222"/>
          <w:sz w:val="21"/>
          <w:szCs w:val="21"/>
        </w:rPr>
        <w:t xml:space="preserve">Faible : « Le nouveau paiement est-il confus ? » — suppose que oui, cherche juste une confirmation</w:t>
      </w:r>
    </w:p>
    <w:p>
      <w:pPr>
        <w:spacing w:after="120"/>
        <w:ind w:left="260"/>
      </w:pPr>
      <w:r>
        <w:rPr>
          <w:b/>
          <w:bCs/>
          <w:color w:val="C9A24B"/>
          <w:sz w:val="21"/>
          <w:szCs w:val="21"/>
        </w:rPr>
        <w:t xml:space="preserve">–  </w:t>
      </w:r>
      <w:r>
        <w:rPr>
          <w:color w:val="222222"/>
          <w:sz w:val="21"/>
          <w:szCs w:val="21"/>
        </w:rPr>
        <w:t xml:space="preserve">Mieux : « À quel moment du parcours de paiement les utilisateurs hésitent-ils ou reviennent-ils en arrière, et pourquoi ? » — ouvert à ce que vous trouverez réellement</w:t>
      </w:r>
    </w:p>
    <w:p>
      <w:pPr>
        <w:spacing w:after="200"/>
      </w:pPr>
      <w:r>
        <w:rPr>
          <w:color w:val="222222"/>
          <w:sz w:val="21"/>
          <w:szCs w:val="21"/>
        </w:rPr>
        <w:t xml:space="preserve">Si chaque question de recherche de votre plan sous-entend déjà sa propre réponse, cela mérite réflexion avant de recruter qui que ce soit — vous trouverez exactement ce que vous cherchiez, ce qui n'est pas la même chose que trouver la vérité.</w:t>
      </w:r>
    </w:p>
    <w:p>
      <w:pPr>
        <w:pBdr>
          <w:bottom w:val="single" w:color="16302A" w:sz="6" w:space="4"/>
        </w:pBdr>
        <w:spacing w:after="140" w:before="320"/>
      </w:pPr>
      <w:r>
        <w:rPr>
          <w:rFonts w:ascii="Georgia" w:cs="Georgia" w:eastAsia="Georgia" w:hAnsi="Georgia"/>
          <w:b/>
          <w:bCs/>
          <w:color w:val="16302A"/>
          <w:sz w:val="26"/>
          <w:szCs w:val="26"/>
        </w:rPr>
        <w:t xml:space="preserve">Encore une chose</w:t>
      </w:r>
    </w:p>
    <w:p>
      <w:pPr>
        <w:spacing w:after="200"/>
      </w:pPr>
      <w:r>
        <w:rPr>
          <w:color w:val="222222"/>
          <w:sz w:val="21"/>
          <w:szCs w:val="21"/>
        </w:rPr>
        <w:t xml:space="preserve">Ce modèle couvre le plan lui-même — la forme de l'étude avant qu'elle ne commence. Le manuel Research Planning &amp; Recruitment va plus loin : comment rédiger un questionnaire de sélection qui filtre vraiment les mauvaises personnes, comment réfléchir à la taille d'échantillon quand il n'existe pas de réponse toute faite pour votre situation, et comment gérer la partie prenante qui veut changer l'objectif en plein milieu du recrutement.</w:t>
      </w:r>
    </w:p>
    <w:p>
      <w:pPr>
        <w:pBdr>
          <w:top w:val="single" w:color="DED6C4" w:sz="6" w:space="8"/>
        </w:pBdr>
        <w:spacing w:before="400"/>
      </w:pPr>
      <w:r>
        <w:rPr>
          <w:i/>
          <w:iCs/>
          <w:color w:val="5E7A6C"/>
          <w:sz w:val="17"/>
          <w:szCs w:val="17"/>
        </w:rPr>
        <w:t xml:space="preserve">Un outil de la UX Research Library — leiamanin.com</w:t>
      </w:r>
    </w:p>
    <w:sectPr>
      <w:headerReference w:type="default" r:id="rId7"/>
      <w:footerReference w:type="default" r:id="rId8"/>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E7A6C"/>
        <w:sz w:val="15"/>
        <w:szCs w:val="15"/>
      </w:rPr>
      <w:t xml:space="preserve">Research Plan Template &amp; Usage Guide  ·  leiamanin.com  ·  Page </w:t>
    </w:r>
    <w:r>
      <w:rPr>
        <w:color w:val="5E7A6C"/>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E7A6C"/>
        <w:sz w:val="15"/>
        <w:szCs w:val="15"/>
      </w:rPr>
      <w:t xml:space="preserve">The UX Research Library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ind w:left="360" w:hanging="215"/>
      </w:pPr>
    </w:lvl>
  </w:abstractNum>
  <w:abstractNum w:abstractNumId="3" w15:restartNumberingAfterBreak="0">
    <w:multiLevelType w:val="hybridMultilevel"/>
    <w:lvl w:ilvl="0" w15:tentative="1">
      <w:start w:val="1"/>
      <w:numFmt w:val="bullet"/>
      <w:lvlText w:val="–"/>
      <w:lvlJc w:val="start"/>
      <w:pPr>
        <w:ind w:left="360" w:hanging="215"/>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2026-09-09T06:23:21.334Z</dcterms:created>
  <dcterms:modified xsi:type="dcterms:W3CDTF">2026-09-09T06:23:21.344Z</dcterms:modified>
</cp:coreProperties>
</file>

<file path=docProps/custom.xml><?xml version="1.0" encoding="utf-8"?>
<Properties xmlns="http://schemas.openxmlformats.org/officeDocument/2006/custom-properties" xmlns:vt="http://schemas.openxmlformats.org/officeDocument/2006/docPropsVTypes"/>
</file>